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BC1D" w14:textId="77777777" w:rsidR="00640D5C" w:rsidRDefault="00D24ABB" w:rsidP="00EB1090">
      <w:pPr>
        <w:pStyle w:val="Heading1"/>
        <w:ind w:left="38"/>
        <w:jc w:val="center"/>
      </w:pPr>
      <w:r>
        <w:t>Workforce Homeownership Program (WHP) Description</w:t>
      </w:r>
    </w:p>
    <w:p w14:paraId="7CB5578F" w14:textId="77777777" w:rsidR="00640D5C" w:rsidRDefault="00D24ABB">
      <w:pPr>
        <w:spacing w:after="267"/>
        <w:ind w:left="14" w:right="32"/>
      </w:pPr>
      <w:r>
        <w:t>The goal of the WHP is to enable certain essential workers in Harford County to purchase homes in Harford County. This workforce includes school teachers, police officers, firefighters and emergency medical technicians, healthcare workers, active military and employees of the US Military. Salaries for many of these jobs make it very difficult for these workers to afford the average sales prices of homes in Harford County or to save the cash needed for settlement costs and down payments required for home mortgages. The sponsors of the WHP, the Dresher Foundation and Home Partnership, Inc., believe that having these critical jobs filled with people who live and work in Harford County strengthens communities, stabilizes neighborhoods and contributes to the national goal of creating a more energy efficient society.</w:t>
      </w:r>
    </w:p>
    <w:p w14:paraId="53ED090A" w14:textId="77777777" w:rsidR="00640D5C" w:rsidRDefault="00D24ABB">
      <w:pPr>
        <w:spacing w:after="338" w:line="241" w:lineRule="auto"/>
        <w:ind w:left="29" w:right="269"/>
        <w:jc w:val="both"/>
      </w:pPr>
      <w:r>
        <w:t xml:space="preserve">The WHP started in September 2007 </w:t>
      </w:r>
      <w:r w:rsidR="002914A5">
        <w:t xml:space="preserve">and ended </w:t>
      </w:r>
      <w:r w:rsidR="00557C29">
        <w:t xml:space="preserve">2012 having disbursed </w:t>
      </w:r>
      <w:r>
        <w:t xml:space="preserve">$600,000 </w:t>
      </w:r>
      <w:r w:rsidR="00557C29">
        <w:t>granted</w:t>
      </w:r>
      <w:r>
        <w:t xml:space="preserve"> </w:t>
      </w:r>
      <w:r w:rsidR="00557C29">
        <w:t>by the</w:t>
      </w:r>
      <w:r>
        <w:t xml:space="preserve"> the Dre</w:t>
      </w:r>
      <w:r w:rsidR="00557C29">
        <w:t xml:space="preserve">sher Foundation. </w:t>
      </w:r>
      <w:r w:rsidR="004F19C0">
        <w:t xml:space="preserve"> </w:t>
      </w:r>
      <w:r w:rsidR="002D5D99">
        <w:t xml:space="preserve">These loans have 0% interest and are deferred but </w:t>
      </w:r>
      <w:r w:rsidR="002D5D99" w:rsidRPr="002D5D99">
        <w:rPr>
          <w:b/>
        </w:rPr>
        <w:t>not forgivable</w:t>
      </w:r>
      <w:r w:rsidR="002D5D99">
        <w:t xml:space="preserve">.  </w:t>
      </w:r>
      <w:r w:rsidR="00557C29">
        <w:t>HPI will use the original program guidelines to disburse</w:t>
      </w:r>
      <w:r w:rsidR="004F19C0">
        <w:t xml:space="preserve"> funds recently recaptured</w:t>
      </w:r>
      <w:r>
        <w:t>:</w:t>
      </w:r>
    </w:p>
    <w:p w14:paraId="47809F12" w14:textId="77777777" w:rsidR="00640D5C" w:rsidRDefault="00D24ABB" w:rsidP="00314075">
      <w:pPr>
        <w:numPr>
          <w:ilvl w:val="0"/>
          <w:numId w:val="10"/>
        </w:numPr>
        <w:ind w:right="32"/>
      </w:pPr>
      <w:r>
        <w:t xml:space="preserve">Eligible employment: K-12 classroom teacher, police officer with arrest powers, certified EMT or volunteer firefighter working with Harford County Volunteer Fire Departments, nurses, </w:t>
      </w:r>
      <w:r w:rsidR="003E4F8D">
        <w:t xml:space="preserve">CNAs/GNAs, </w:t>
      </w:r>
      <w:r>
        <w:t>Allied healthcare workers, active military or civilian employee of the U.S.</w:t>
      </w:r>
      <w:r w:rsidR="00314075">
        <w:t xml:space="preserve"> </w:t>
      </w:r>
      <w:r>
        <w:t>Military.</w:t>
      </w:r>
    </w:p>
    <w:p w14:paraId="2C635899" w14:textId="77777777" w:rsidR="00640D5C" w:rsidRDefault="00D24ABB" w:rsidP="00314075">
      <w:pPr>
        <w:numPr>
          <w:ilvl w:val="0"/>
          <w:numId w:val="10"/>
        </w:numPr>
        <w:spacing w:after="49"/>
        <w:ind w:right="32"/>
      </w:pPr>
      <w:r>
        <w:t>Participants must live in the house they buy and work in Harford County except police with arrest powers may work in other jurisdictions.</w:t>
      </w:r>
    </w:p>
    <w:p w14:paraId="7A4A9E00" w14:textId="77777777" w:rsidR="002914A5" w:rsidRDefault="00D24ABB" w:rsidP="00314075">
      <w:pPr>
        <w:numPr>
          <w:ilvl w:val="0"/>
          <w:numId w:val="10"/>
        </w:numPr>
        <w:spacing w:after="49"/>
        <w:ind w:right="32"/>
      </w:pPr>
      <w:r>
        <w:t xml:space="preserve">Household annual income is limited to 100% of the Harford County median income adjusted for family size. </w:t>
      </w:r>
    </w:p>
    <w:p w14:paraId="1B9C5D97" w14:textId="77777777" w:rsidR="00640D5C" w:rsidRDefault="00D24ABB" w:rsidP="00314075">
      <w:pPr>
        <w:pStyle w:val="ListParagraph"/>
        <w:numPr>
          <w:ilvl w:val="0"/>
          <w:numId w:val="10"/>
        </w:numPr>
        <w:spacing w:after="49"/>
        <w:ind w:right="32"/>
      </w:pPr>
      <w:r>
        <w:t>The maximum contract sales price is $250,000.</w:t>
      </w:r>
    </w:p>
    <w:p w14:paraId="58BF196F" w14:textId="77777777" w:rsidR="00640D5C" w:rsidRDefault="00D24ABB" w:rsidP="00314075">
      <w:pPr>
        <w:numPr>
          <w:ilvl w:val="0"/>
          <w:numId w:val="10"/>
        </w:numPr>
        <w:spacing w:after="57"/>
        <w:ind w:right="32"/>
      </w:pPr>
      <w:r>
        <w:t>The WHP funds are a deferred second loan up to $</w:t>
      </w:r>
      <w:r w:rsidR="007A18E6">
        <w:t>5,0</w:t>
      </w:r>
      <w:r w:rsidR="002914A5">
        <w:t>00</w:t>
      </w:r>
      <w:r w:rsidR="007A18E6">
        <w:t>.00</w:t>
      </w:r>
      <w:r>
        <w:t xml:space="preserve">, 0% interest, </w:t>
      </w:r>
      <w:r w:rsidRPr="00314075">
        <w:rPr>
          <w:b/>
        </w:rPr>
        <w:t>repayable</w:t>
      </w:r>
      <w:r>
        <w:t xml:space="preserve"> upon the sale of the property,</w:t>
      </w:r>
      <w:r w:rsidR="007A18E6">
        <w:t xml:space="preserve"> refinance of the first loan, or </w:t>
      </w:r>
      <w:r>
        <w:t>default on the first loan</w:t>
      </w:r>
      <w:r w:rsidR="007A18E6">
        <w:t>.</w:t>
      </w:r>
      <w:r>
        <w:t>. The WHP loan is a recorded lien on the property. The WHP loan c</w:t>
      </w:r>
      <w:r w:rsidR="00436BD3">
        <w:t>an be used for settlement costs and</w:t>
      </w:r>
      <w:r>
        <w:t xml:space="preserve"> down payment. As a loan, the WHP funds cannot be used for the requirement of 3.5% buyer equity for a FHA loan. </w:t>
      </w:r>
    </w:p>
    <w:p w14:paraId="363F9E47" w14:textId="77777777" w:rsidR="00640D5C" w:rsidRDefault="00D24ABB" w:rsidP="00314075">
      <w:pPr>
        <w:numPr>
          <w:ilvl w:val="0"/>
          <w:numId w:val="10"/>
        </w:numPr>
        <w:spacing w:after="44"/>
        <w:ind w:right="32"/>
      </w:pPr>
      <w:r>
        <w:t>The program can only be used for existing houses, not for new construction.</w:t>
      </w:r>
    </w:p>
    <w:p w14:paraId="41A7D34C" w14:textId="77777777" w:rsidR="00640D5C" w:rsidRDefault="00D24ABB" w:rsidP="00314075">
      <w:pPr>
        <w:numPr>
          <w:ilvl w:val="0"/>
          <w:numId w:val="10"/>
        </w:numPr>
        <w:ind w:right="32"/>
      </w:pPr>
      <w:r>
        <w:t>The buyer must contribute a minimum of $1,000 to the purchase.</w:t>
      </w:r>
    </w:p>
    <w:p w14:paraId="5E61EBB7" w14:textId="77777777" w:rsidR="00640D5C" w:rsidRDefault="00D24ABB" w:rsidP="00314075">
      <w:pPr>
        <w:numPr>
          <w:ilvl w:val="0"/>
          <w:numId w:val="10"/>
        </w:numPr>
        <w:ind w:right="32"/>
      </w:pPr>
      <w:r>
        <w:t>The buyer cannot own another house at the time of purchase and must take</w:t>
      </w:r>
      <w:r w:rsidR="002D5D99">
        <w:t xml:space="preserve"> a homebuyer education workshop with a HUD approved agency.</w:t>
      </w:r>
    </w:p>
    <w:p w14:paraId="6D9CB4E7" w14:textId="77777777" w:rsidR="002914A5" w:rsidRDefault="002914A5" w:rsidP="00314075">
      <w:pPr>
        <w:numPr>
          <w:ilvl w:val="0"/>
          <w:numId w:val="10"/>
        </w:numPr>
        <w:ind w:right="32"/>
      </w:pPr>
      <w:r>
        <w:t>A $500 admin fee is due to HPI at closing.  HPI requires at least one full business day after receipt of Borrower’s signed final loan fee disclosures (TRID)</w:t>
      </w:r>
      <w:r w:rsidR="00314075">
        <w:t xml:space="preserve"> and title company wire instructions to deliver loan proceeds.</w:t>
      </w:r>
    </w:p>
    <w:p w14:paraId="2FD4F190" w14:textId="77777777" w:rsidR="00314075" w:rsidRDefault="00314075" w:rsidP="00314075">
      <w:pPr>
        <w:ind w:right="32"/>
      </w:pPr>
    </w:p>
    <w:tbl>
      <w:tblPr>
        <w:tblW w:w="0" w:type="auto"/>
        <w:tblInd w:w="540"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855"/>
        <w:gridCol w:w="855"/>
        <w:gridCol w:w="855"/>
        <w:gridCol w:w="1035"/>
        <w:gridCol w:w="1058"/>
        <w:gridCol w:w="1515"/>
        <w:gridCol w:w="1058"/>
        <w:gridCol w:w="990"/>
      </w:tblGrid>
      <w:tr w:rsidR="00314075" w:rsidRPr="00314075" w14:paraId="307EE020" w14:textId="77777777" w:rsidTr="00314075">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1743EDAB" w14:textId="77777777" w:rsidR="00314075" w:rsidRPr="00314075" w:rsidRDefault="00314075" w:rsidP="00314075">
            <w:pPr>
              <w:spacing w:after="0" w:line="360" w:lineRule="atLeast"/>
              <w:ind w:left="0" w:firstLine="0"/>
              <w:jc w:val="center"/>
              <w:rPr>
                <w:rFonts w:ascii="inherit" w:hAnsi="inherit"/>
                <w:sz w:val="27"/>
                <w:szCs w:val="27"/>
              </w:rPr>
            </w:pP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2401701F" w14:textId="77777777" w:rsidR="00314075" w:rsidRPr="00557C29" w:rsidRDefault="00314075" w:rsidP="00557C29">
            <w:pPr>
              <w:spacing w:after="0" w:line="360" w:lineRule="atLeast"/>
              <w:ind w:left="0" w:firstLine="0"/>
              <w:rPr>
                <w:rFonts w:ascii="inherit" w:hAnsi="inherit"/>
                <w:b/>
                <w:sz w:val="27"/>
                <w:szCs w:val="27"/>
              </w:rPr>
            </w:pP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6637152C" w14:textId="338040DA" w:rsidR="00314075" w:rsidRPr="00557C29" w:rsidRDefault="00066DF9" w:rsidP="00557C29">
            <w:pPr>
              <w:spacing w:after="0" w:line="360" w:lineRule="atLeast"/>
              <w:ind w:left="0" w:firstLine="0"/>
              <w:jc w:val="right"/>
              <w:rPr>
                <w:rFonts w:ascii="inherit" w:hAnsi="inherit"/>
                <w:b/>
                <w:sz w:val="27"/>
                <w:szCs w:val="27"/>
              </w:rPr>
            </w:pPr>
            <w:r>
              <w:rPr>
                <w:rFonts w:ascii="inherit" w:hAnsi="inherit"/>
                <w:b/>
                <w:sz w:val="27"/>
                <w:szCs w:val="27"/>
              </w:rPr>
              <w:t>201</w:t>
            </w:r>
            <w:r w:rsidR="00821A76">
              <w:rPr>
                <w:rFonts w:ascii="inherit" w:hAnsi="inherit"/>
                <w:b/>
                <w:sz w:val="27"/>
                <w:szCs w:val="27"/>
              </w:rPr>
              <w:t>8</w:t>
            </w:r>
            <w:bookmarkStart w:id="0" w:name="_GoBack"/>
            <w:bookmarkEnd w:id="0"/>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6A3436DD" w14:textId="77777777" w:rsidR="00314075" w:rsidRPr="00557C29" w:rsidRDefault="00557C29" w:rsidP="00557C29">
            <w:pPr>
              <w:spacing w:after="0" w:line="360" w:lineRule="atLeast"/>
              <w:ind w:left="0" w:firstLine="0"/>
              <w:rPr>
                <w:rFonts w:ascii="inherit" w:hAnsi="inherit"/>
                <w:b/>
                <w:bCs/>
                <w:sz w:val="27"/>
                <w:szCs w:val="27"/>
                <w:bdr w:val="none" w:sz="0" w:space="0" w:color="auto" w:frame="1"/>
              </w:rPr>
            </w:pPr>
            <w:r w:rsidRPr="00557C29">
              <w:rPr>
                <w:rFonts w:ascii="inherit" w:hAnsi="inherit"/>
                <w:b/>
                <w:bCs/>
                <w:sz w:val="27"/>
                <w:szCs w:val="27"/>
                <w:bdr w:val="none" w:sz="0" w:space="0" w:color="auto" w:frame="1"/>
              </w:rPr>
              <w:t>Income</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70299C1E" w14:textId="77777777" w:rsidR="00314075" w:rsidRPr="00557C29" w:rsidRDefault="00557C29" w:rsidP="00557C29">
            <w:pPr>
              <w:spacing w:after="0" w:line="360" w:lineRule="atLeast"/>
              <w:ind w:left="0" w:firstLine="0"/>
              <w:rPr>
                <w:rFonts w:ascii="inherit" w:hAnsi="inherit"/>
                <w:b/>
                <w:sz w:val="27"/>
                <w:szCs w:val="27"/>
              </w:rPr>
            </w:pPr>
            <w:r w:rsidRPr="00557C29">
              <w:rPr>
                <w:rFonts w:ascii="inherit" w:hAnsi="inherit"/>
                <w:b/>
                <w:sz w:val="27"/>
                <w:szCs w:val="27"/>
              </w:rPr>
              <w:t>Limits</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075710F4" w14:textId="77777777" w:rsidR="00314075" w:rsidRPr="00557C29" w:rsidRDefault="004F19C0" w:rsidP="00557C29">
            <w:pPr>
              <w:spacing w:after="0" w:line="360" w:lineRule="atLeast"/>
              <w:ind w:left="0" w:firstLine="0"/>
              <w:rPr>
                <w:rFonts w:ascii="inherit" w:hAnsi="inherit"/>
                <w:b/>
                <w:sz w:val="27"/>
                <w:szCs w:val="27"/>
              </w:rPr>
            </w:pPr>
            <w:r>
              <w:rPr>
                <w:rFonts w:ascii="inherit" w:hAnsi="inherit"/>
                <w:b/>
                <w:sz w:val="27"/>
                <w:szCs w:val="27"/>
              </w:rPr>
              <w:t>By HH Size</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32322367" w14:textId="77777777" w:rsidR="00314075" w:rsidRPr="00314075" w:rsidRDefault="00314075" w:rsidP="00314075">
            <w:pPr>
              <w:spacing w:after="0" w:line="360" w:lineRule="atLeast"/>
              <w:ind w:left="0" w:firstLine="0"/>
              <w:jc w:val="center"/>
              <w:rPr>
                <w:rFonts w:ascii="inherit" w:hAnsi="inherit"/>
                <w:sz w:val="27"/>
                <w:szCs w:val="27"/>
              </w:rPr>
            </w:pP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4884FA30" w14:textId="77777777" w:rsidR="00314075" w:rsidRPr="00314075" w:rsidRDefault="00314075" w:rsidP="00314075">
            <w:pPr>
              <w:spacing w:after="0" w:line="360" w:lineRule="atLeast"/>
              <w:ind w:left="0" w:firstLine="0"/>
              <w:jc w:val="center"/>
              <w:rPr>
                <w:rFonts w:ascii="inherit" w:hAnsi="inherit"/>
                <w:sz w:val="27"/>
                <w:szCs w:val="27"/>
              </w:rPr>
            </w:pPr>
          </w:p>
        </w:tc>
      </w:tr>
      <w:tr w:rsidR="00314075" w:rsidRPr="00314075" w14:paraId="592C6839" w14:textId="77777777" w:rsidTr="00314075">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0E68F98E" w14:textId="77777777" w:rsidR="00314075" w:rsidRPr="00F867B6" w:rsidRDefault="00314075" w:rsidP="00557C29">
            <w:pPr>
              <w:jc w:val="center"/>
            </w:pPr>
            <w:r w:rsidRPr="00F867B6">
              <w:t>1</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6C3A6C76" w14:textId="77777777" w:rsidR="00314075" w:rsidRPr="00F867B6" w:rsidRDefault="00314075" w:rsidP="00557C29">
            <w:pPr>
              <w:jc w:val="center"/>
            </w:pPr>
            <w:r w:rsidRPr="00F867B6">
              <w:t>2</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185FEDB2" w14:textId="77777777" w:rsidR="00314075" w:rsidRPr="00F867B6" w:rsidRDefault="00314075" w:rsidP="00557C29">
            <w:pPr>
              <w:jc w:val="center"/>
            </w:pPr>
            <w:r w:rsidRPr="00F867B6">
              <w:t>3</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332E7ED6" w14:textId="77777777" w:rsidR="00314075" w:rsidRPr="00F867B6" w:rsidRDefault="00314075" w:rsidP="00557C29">
            <w:pPr>
              <w:jc w:val="center"/>
            </w:pPr>
            <w:r w:rsidRPr="00F867B6">
              <w:t>4</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19C4A1ED" w14:textId="77777777" w:rsidR="00314075" w:rsidRPr="00F867B6" w:rsidRDefault="00314075" w:rsidP="00557C29">
            <w:pPr>
              <w:jc w:val="center"/>
            </w:pPr>
            <w:r w:rsidRPr="00F867B6">
              <w:t>5</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2784ADD5" w14:textId="77777777" w:rsidR="00314075" w:rsidRPr="00F867B6" w:rsidRDefault="00314075" w:rsidP="00557C29">
            <w:pPr>
              <w:jc w:val="center"/>
            </w:pPr>
            <w:r w:rsidRPr="00F867B6">
              <w:t>6</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280D88B7" w14:textId="77777777" w:rsidR="00314075" w:rsidRPr="00F867B6" w:rsidRDefault="00314075" w:rsidP="00557C29">
            <w:pPr>
              <w:jc w:val="center"/>
            </w:pPr>
            <w:r w:rsidRPr="00F867B6">
              <w:t>7</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tcPr>
          <w:p w14:paraId="2A42A122" w14:textId="77777777" w:rsidR="00314075" w:rsidRDefault="00314075" w:rsidP="00557C29">
            <w:pPr>
              <w:jc w:val="center"/>
            </w:pPr>
            <w:r w:rsidRPr="00F867B6">
              <w:t>8</w:t>
            </w:r>
          </w:p>
        </w:tc>
      </w:tr>
      <w:tr w:rsidR="00557C29" w:rsidRPr="00314075" w14:paraId="50419D14" w14:textId="77777777" w:rsidTr="00314075">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7A72881" w14:textId="3E859DDB"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66500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02C98F85" w14:textId="6664D482"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76000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09938CB4" w14:textId="0F62F711"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85500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7C898F62" w14:textId="03E847C0" w:rsidR="00314075" w:rsidRPr="00314075" w:rsidRDefault="00821A76" w:rsidP="00314075">
            <w:pPr>
              <w:spacing w:after="0" w:line="360" w:lineRule="atLeast"/>
              <w:ind w:left="0" w:firstLine="0"/>
              <w:jc w:val="center"/>
              <w:rPr>
                <w:rFonts w:ascii="inherit" w:hAnsi="inherit"/>
                <w:sz w:val="27"/>
                <w:szCs w:val="27"/>
              </w:rPr>
            </w:pPr>
            <w:r>
              <w:rPr>
                <w:rFonts w:ascii="inherit" w:hAnsi="inherit"/>
                <w:b/>
                <w:bCs/>
                <w:sz w:val="27"/>
                <w:szCs w:val="27"/>
                <w:bdr w:val="none" w:sz="0" w:space="0" w:color="auto" w:frame="1"/>
              </w:rPr>
              <w:t>94900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444EAA10" w14:textId="5369783D"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102,500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8DF021B" w14:textId="16CD0C9C"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110,100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3E607490" w14:textId="3BB35E82"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117,700</w:t>
            </w:r>
          </w:p>
        </w:tc>
        <w:tc>
          <w:tcPr>
            <w:tcW w:w="0" w:type="auto"/>
            <w:tcBorders>
              <w:top w:val="nil"/>
              <w:left w:val="nil"/>
              <w:bottom w:val="single" w:sz="6" w:space="0" w:color="808080"/>
              <w:right w:val="nil"/>
            </w:tcBorders>
            <w:shd w:val="clear" w:color="auto" w:fill="FFFFFF"/>
            <w:tcMar>
              <w:top w:w="90" w:type="dxa"/>
              <w:left w:w="90" w:type="dxa"/>
              <w:bottom w:w="90" w:type="dxa"/>
              <w:right w:w="90" w:type="dxa"/>
            </w:tcMar>
            <w:vAlign w:val="center"/>
            <w:hideMark/>
          </w:tcPr>
          <w:p w14:paraId="15649F58" w14:textId="04128087" w:rsidR="00314075" w:rsidRPr="00314075" w:rsidRDefault="00821A76" w:rsidP="00314075">
            <w:pPr>
              <w:spacing w:after="0" w:line="360" w:lineRule="atLeast"/>
              <w:ind w:left="0" w:firstLine="0"/>
              <w:jc w:val="center"/>
              <w:rPr>
                <w:rFonts w:ascii="inherit" w:hAnsi="inherit"/>
                <w:sz w:val="27"/>
                <w:szCs w:val="27"/>
              </w:rPr>
            </w:pPr>
            <w:r>
              <w:rPr>
                <w:rFonts w:ascii="inherit" w:hAnsi="inherit"/>
                <w:sz w:val="27"/>
                <w:szCs w:val="27"/>
              </w:rPr>
              <w:t>125300</w:t>
            </w:r>
          </w:p>
        </w:tc>
      </w:tr>
    </w:tbl>
    <w:p w14:paraId="0033E541" w14:textId="77777777" w:rsidR="00EB1090" w:rsidRDefault="00EB1090" w:rsidP="00314075">
      <w:pPr>
        <w:ind w:right="32"/>
      </w:pPr>
    </w:p>
    <w:p w14:paraId="61EEB20C" w14:textId="77777777" w:rsidR="00EB1090" w:rsidRDefault="00EB1090" w:rsidP="00EB1090">
      <w:pPr>
        <w:pStyle w:val="Heading1"/>
        <w:ind w:left="38"/>
        <w:jc w:val="center"/>
      </w:pPr>
      <w:r>
        <w:br w:type="page"/>
      </w:r>
      <w:r>
        <w:lastRenderedPageBreak/>
        <w:t>Workforce Homeownership Program (WHP) Description</w:t>
      </w:r>
    </w:p>
    <w:p w14:paraId="1D31627C" w14:textId="77777777" w:rsidR="004D7142" w:rsidRDefault="004D7142" w:rsidP="00EB1090">
      <w:r>
        <w:t xml:space="preserve">Copies of the loan documents and disclosures are available on our website at </w:t>
      </w:r>
      <w:hyperlink r:id="rId7" w:history="1">
        <w:r w:rsidRPr="00C23B97">
          <w:rPr>
            <w:rStyle w:val="Hyperlink"/>
          </w:rPr>
          <w:t>https://homepartnershipinc.org/down-payment-closing-cost-assistance/</w:t>
        </w:r>
      </w:hyperlink>
      <w:r>
        <w:t xml:space="preserve"> .  Lenders, please download these documents to appropriate contact within your organization if you need to get the Workforce loan approved as a source of secondary financing.  It might be wise to do so right away even if you do not have a candidate in mind yet.  It is also wise to email to confirm the availability of funds just prior to submission.  This program is solely funded now through repayment of previous loans, so availability fluctuates up and down from month to month.  Like our page </w:t>
      </w:r>
      <w:hyperlink r:id="rId8" w:history="1">
        <w:r w:rsidRPr="00C23B97">
          <w:rPr>
            <w:rStyle w:val="Hyperlink"/>
          </w:rPr>
          <w:t>www.facebook.com/HomePartnershipInc</w:t>
        </w:r>
      </w:hyperlink>
      <w:r>
        <w:t xml:space="preserve">  or follow us on </w:t>
      </w:r>
      <w:hyperlink r:id="rId9" w:history="1">
        <w:r w:rsidR="00ED2225" w:rsidRPr="00C23B97">
          <w:rPr>
            <w:rStyle w:val="Hyperlink"/>
          </w:rPr>
          <w:t>www.twitter.com/HomePartnership</w:t>
        </w:r>
      </w:hyperlink>
      <w:r w:rsidR="00ED2225">
        <w:t xml:space="preserve"> </w:t>
      </w:r>
      <w:r>
        <w:t xml:space="preserve"> to get updates on this and other HPI programs and services  </w:t>
      </w:r>
    </w:p>
    <w:p w14:paraId="0A9BF509" w14:textId="77777777" w:rsidR="004D7142" w:rsidRDefault="004D7142" w:rsidP="00EB1090"/>
    <w:p w14:paraId="1C140069" w14:textId="77777777" w:rsidR="00EB1090" w:rsidRDefault="00EB1090" w:rsidP="00EB1090">
      <w:r>
        <w:t xml:space="preserve">To </w:t>
      </w:r>
      <w:r w:rsidR="00B45ED0">
        <w:t>a</w:t>
      </w:r>
      <w:r>
        <w:t xml:space="preserve">pply for WHP, </w:t>
      </w:r>
      <w:r w:rsidR="00B45ED0">
        <w:t>t</w:t>
      </w:r>
      <w:r>
        <w:t xml:space="preserve">he </w:t>
      </w:r>
      <w:r w:rsidR="00EA06AF">
        <w:t>Lender</w:t>
      </w:r>
      <w:r>
        <w:t xml:space="preserve"> must submit </w:t>
      </w:r>
      <w:r w:rsidRPr="007A18E6">
        <w:rPr>
          <w:b/>
        </w:rPr>
        <w:t>HARD COPIES</w:t>
      </w:r>
      <w:r>
        <w:t xml:space="preserve"> of the following items:</w:t>
      </w:r>
    </w:p>
    <w:p w14:paraId="46608114" w14:textId="77777777" w:rsidR="007A18E6" w:rsidRDefault="007A18E6" w:rsidP="00EB1090"/>
    <w:p w14:paraId="7F44BA4C" w14:textId="77777777" w:rsidR="002C79C2" w:rsidRDefault="007A18E6" w:rsidP="002C79C2">
      <w:pPr>
        <w:pStyle w:val="ListParagraph"/>
        <w:numPr>
          <w:ilvl w:val="0"/>
          <w:numId w:val="11"/>
        </w:numPr>
      </w:pPr>
      <w:r>
        <w:t xml:space="preserve">Ratified </w:t>
      </w:r>
      <w:r w:rsidR="002C79C2">
        <w:t>Sales Contract</w:t>
      </w:r>
    </w:p>
    <w:p w14:paraId="0AABF43E" w14:textId="77777777" w:rsidR="00EB1090" w:rsidRDefault="00EB1090" w:rsidP="00EB1090">
      <w:pPr>
        <w:pStyle w:val="ListParagraph"/>
        <w:numPr>
          <w:ilvl w:val="0"/>
          <w:numId w:val="11"/>
        </w:numPr>
      </w:pPr>
      <w:r>
        <w:t>Signed 1003 and Loan Fee Estimate</w:t>
      </w:r>
    </w:p>
    <w:p w14:paraId="01C5A11B" w14:textId="77777777" w:rsidR="00EB1090" w:rsidRDefault="00EB1090" w:rsidP="00EB1090">
      <w:pPr>
        <w:pStyle w:val="ListParagraph"/>
        <w:numPr>
          <w:ilvl w:val="0"/>
          <w:numId w:val="11"/>
        </w:numPr>
      </w:pPr>
      <w:r>
        <w:t xml:space="preserve">Most recent 30 days paystubs for all adult household members </w:t>
      </w:r>
    </w:p>
    <w:p w14:paraId="15C22D3A" w14:textId="77777777" w:rsidR="00B45ED0" w:rsidRDefault="00066DF9" w:rsidP="00EB1090">
      <w:pPr>
        <w:pStyle w:val="ListParagraph"/>
        <w:numPr>
          <w:ilvl w:val="0"/>
          <w:numId w:val="11"/>
        </w:numPr>
      </w:pPr>
      <w:r>
        <w:t>YTD 2017</w:t>
      </w:r>
      <w:r w:rsidR="00B45ED0">
        <w:t xml:space="preserve"> Profit and Loss Statement if self-employed</w:t>
      </w:r>
    </w:p>
    <w:p w14:paraId="554DC830" w14:textId="77777777" w:rsidR="00B45ED0" w:rsidRDefault="00B45ED0" w:rsidP="00EB1090">
      <w:pPr>
        <w:pStyle w:val="ListParagraph"/>
        <w:numPr>
          <w:ilvl w:val="0"/>
          <w:numId w:val="11"/>
        </w:numPr>
      </w:pPr>
      <w:r>
        <w:t xml:space="preserve">Award letters, Court Order, or Benefit </w:t>
      </w:r>
      <w:r w:rsidR="002D5D99">
        <w:t>statement</w:t>
      </w:r>
      <w:r>
        <w:t xml:space="preserve"> for non-work income</w:t>
      </w:r>
    </w:p>
    <w:p w14:paraId="2405BA2C" w14:textId="77777777" w:rsidR="00B45ED0" w:rsidRDefault="00B45ED0" w:rsidP="00EB1090">
      <w:pPr>
        <w:pStyle w:val="ListParagraph"/>
        <w:numPr>
          <w:ilvl w:val="0"/>
          <w:numId w:val="11"/>
        </w:numPr>
      </w:pPr>
      <w:r>
        <w:t>Notarized “No Income” Statement for adult household member</w:t>
      </w:r>
      <w:r w:rsidR="007A18E6">
        <w:t>s,</w:t>
      </w:r>
      <w:r>
        <w:t xml:space="preserve"> if applicable</w:t>
      </w:r>
    </w:p>
    <w:p w14:paraId="0AC3F092" w14:textId="77777777" w:rsidR="00B45ED0" w:rsidRDefault="00B45ED0" w:rsidP="00EB1090">
      <w:pPr>
        <w:pStyle w:val="ListParagraph"/>
        <w:numPr>
          <w:ilvl w:val="0"/>
          <w:numId w:val="11"/>
        </w:numPr>
      </w:pPr>
      <w:r>
        <w:t>Most recent 60 days bank statements (all pages, all accounts) with explanation of cash/counter deposits.</w:t>
      </w:r>
    </w:p>
    <w:p w14:paraId="19F0C890" w14:textId="77777777" w:rsidR="00B45ED0" w:rsidRDefault="007A18E6" w:rsidP="00EB1090">
      <w:pPr>
        <w:pStyle w:val="ListParagraph"/>
        <w:numPr>
          <w:ilvl w:val="0"/>
          <w:numId w:val="11"/>
        </w:numPr>
      </w:pPr>
      <w:r>
        <w:t>Most recent 2 years</w:t>
      </w:r>
      <w:r w:rsidR="00B45ED0">
        <w:t xml:space="preserve"> tax returns AND W2s (IRS Return and W2 Transcripts acceptable)</w:t>
      </w:r>
    </w:p>
    <w:p w14:paraId="454B06A4" w14:textId="77777777" w:rsidR="002C79C2" w:rsidRDefault="002C79C2" w:rsidP="00EB1090">
      <w:pPr>
        <w:pStyle w:val="ListParagraph"/>
        <w:numPr>
          <w:ilvl w:val="0"/>
          <w:numId w:val="11"/>
        </w:numPr>
      </w:pPr>
      <w:r>
        <w:t xml:space="preserve">Homebuyer Education Certificate from HUD approved agency that includes One on One </w:t>
      </w:r>
      <w:r w:rsidR="00EA06AF">
        <w:t>counseling</w:t>
      </w:r>
      <w:r w:rsidR="00EA06AF" w:rsidRPr="00EA06AF">
        <w:t xml:space="preserve"> </w:t>
      </w:r>
      <w:r w:rsidR="00EA06AF">
        <w:t>issued no more than 1 year prior to scheduled closing date</w:t>
      </w:r>
    </w:p>
    <w:p w14:paraId="6A4AA29C" w14:textId="77777777" w:rsidR="00B45ED0" w:rsidRDefault="00B45ED0" w:rsidP="00EB1090">
      <w:pPr>
        <w:pStyle w:val="ListParagraph"/>
        <w:numPr>
          <w:ilvl w:val="0"/>
          <w:numId w:val="11"/>
        </w:numPr>
      </w:pPr>
      <w:r>
        <w:t>Appraisal</w:t>
      </w:r>
      <w:r w:rsidR="007A18E6">
        <w:t xml:space="preserve"> (This is the only document that can be sent trailing and in electronic format).</w:t>
      </w:r>
    </w:p>
    <w:p w14:paraId="4C4D1D21" w14:textId="77777777" w:rsidR="00B45ED0" w:rsidRDefault="00B45ED0" w:rsidP="00EB1090">
      <w:pPr>
        <w:pStyle w:val="ListParagraph"/>
        <w:numPr>
          <w:ilvl w:val="0"/>
          <w:numId w:val="11"/>
        </w:numPr>
      </w:pPr>
      <w:r>
        <w:t>Contact info for lender, buyer’s agent, title</w:t>
      </w:r>
      <w:r w:rsidR="00066DF9">
        <w:t xml:space="preserve"> contact</w:t>
      </w:r>
      <w:r>
        <w:t xml:space="preserve"> and Estimated Settlement Date.</w:t>
      </w:r>
    </w:p>
    <w:p w14:paraId="45634864" w14:textId="77777777" w:rsidR="00EA06AF" w:rsidRDefault="00EA06AF" w:rsidP="00945BA2">
      <w:pPr>
        <w:pStyle w:val="ListParagraph"/>
        <w:ind w:left="734" w:firstLine="0"/>
      </w:pPr>
    </w:p>
    <w:p w14:paraId="0CDCF029" w14:textId="77777777" w:rsidR="00B45ED0" w:rsidRDefault="00B45ED0" w:rsidP="00B45ED0">
      <w:r>
        <w:t xml:space="preserve">Compliance reviews can typically be </w:t>
      </w:r>
      <w:r w:rsidR="002C79C2">
        <w:t>finished</w:t>
      </w:r>
      <w:r>
        <w:t xml:space="preserve"> </w:t>
      </w:r>
      <w:r w:rsidR="002C79C2">
        <w:t>with</w:t>
      </w:r>
      <w:r>
        <w:t xml:space="preserve">in </w:t>
      </w:r>
      <w:r w:rsidR="002C79C2">
        <w:t>3</w:t>
      </w:r>
      <w:r>
        <w:t xml:space="preserve"> business days of complete </w:t>
      </w:r>
      <w:r w:rsidR="002C79C2">
        <w:t xml:space="preserve">package </w:t>
      </w:r>
      <w:r>
        <w:t>submission</w:t>
      </w:r>
      <w:r w:rsidR="002C79C2">
        <w:t xml:space="preserve">.  If approved, HPI will issue a commitment letter to your borrower to </w:t>
      </w:r>
      <w:r w:rsidR="00EA06AF">
        <w:t>return signed</w:t>
      </w:r>
      <w:r w:rsidR="002C79C2">
        <w:t xml:space="preserve"> and closing instructions to title requesting wiring instructions.  </w:t>
      </w:r>
      <w:r w:rsidR="00EA06AF">
        <w:t xml:space="preserve">Please note that there is a $500.00 admin fee due to Home Partnership Inc. </w:t>
      </w:r>
      <w:r w:rsidR="000348DD">
        <w:t xml:space="preserve">at closing by certified funds or title </w:t>
      </w:r>
      <w:r w:rsidR="002D5D99">
        <w:t xml:space="preserve">company check.  Borrowers can use WHP loan proceeds to pay this fee.  </w:t>
      </w:r>
      <w:r w:rsidR="000348DD">
        <w:t>HPI r</w:t>
      </w:r>
      <w:r w:rsidR="00EA06AF">
        <w:t xml:space="preserve">equires at least 1 full business day after receipt </w:t>
      </w:r>
      <w:r w:rsidR="00945BA2">
        <w:t xml:space="preserve">of </w:t>
      </w:r>
      <w:r w:rsidR="00EA06AF">
        <w:t>signed TRID to schedule wire of</w:t>
      </w:r>
      <w:r w:rsidR="002C79C2">
        <w:t xml:space="preserve"> loan proceeds</w:t>
      </w:r>
      <w:r w:rsidR="00EA06AF">
        <w:t xml:space="preserve"> and provide </w:t>
      </w:r>
      <w:r w:rsidR="002D5D99">
        <w:t>our N</w:t>
      </w:r>
      <w:r w:rsidR="00EA06AF">
        <w:t>ote and Deed of Trust</w:t>
      </w:r>
      <w:r w:rsidR="002C79C2">
        <w:t xml:space="preserve"> </w:t>
      </w:r>
      <w:r w:rsidR="002D5D99">
        <w:t>for execution at closing.</w:t>
      </w:r>
    </w:p>
    <w:p w14:paraId="12F6017B" w14:textId="77777777" w:rsidR="00ED2225" w:rsidRDefault="00ED2225" w:rsidP="00B45ED0"/>
    <w:p w14:paraId="02A38216" w14:textId="77777777" w:rsidR="00ED2225" w:rsidRDefault="00ED2225" w:rsidP="00B45ED0">
      <w:r>
        <w:t xml:space="preserve">Please email questions to Meredith McAllister at </w:t>
      </w:r>
      <w:hyperlink r:id="rId10" w:history="1">
        <w:r w:rsidRPr="00C23B97">
          <w:rPr>
            <w:rStyle w:val="Hyperlink"/>
          </w:rPr>
          <w:t>counselor@homepartnershipinc.org</w:t>
        </w:r>
      </w:hyperlink>
      <w:r>
        <w:t xml:space="preserve"> .</w:t>
      </w:r>
    </w:p>
    <w:p w14:paraId="55C23486" w14:textId="77777777" w:rsidR="00B45ED0" w:rsidRPr="00EB1090" w:rsidRDefault="00B45ED0" w:rsidP="00B45ED0">
      <w:pPr>
        <w:pStyle w:val="ListParagraph"/>
        <w:ind w:left="734" w:firstLine="0"/>
      </w:pPr>
    </w:p>
    <w:p w14:paraId="1665CACE" w14:textId="77777777" w:rsidR="00EB1090" w:rsidRDefault="00EB1090" w:rsidP="00EB1090"/>
    <w:p w14:paraId="5A220E4F" w14:textId="77777777" w:rsidR="00314075" w:rsidRDefault="00314075" w:rsidP="00314075">
      <w:pPr>
        <w:ind w:right="32"/>
      </w:pPr>
    </w:p>
    <w:sectPr w:rsidR="00314075">
      <w:footerReference w:type="even" r:id="rId11"/>
      <w:footerReference w:type="default" r:id="rId12"/>
      <w:footerReference w:type="first" r:id="rId13"/>
      <w:pgSz w:w="12118" w:h="15890"/>
      <w:pgMar w:top="1474" w:right="1388" w:bottom="883" w:left="1345" w:header="720" w:footer="8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36769" w14:textId="77777777" w:rsidR="006B1D2D" w:rsidRDefault="006B1D2D">
      <w:pPr>
        <w:spacing w:after="0" w:line="240" w:lineRule="auto"/>
      </w:pPr>
      <w:r>
        <w:separator/>
      </w:r>
    </w:p>
  </w:endnote>
  <w:endnote w:type="continuationSeparator" w:id="0">
    <w:p w14:paraId="7C84A8DF" w14:textId="77777777" w:rsidR="006B1D2D" w:rsidRDefault="006B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F479" w14:textId="77777777" w:rsidR="00640D5C" w:rsidRDefault="00D24ABB">
    <w:pPr>
      <w:spacing w:after="0" w:line="259" w:lineRule="auto"/>
      <w:ind w:left="0" w:right="86" w:firstLine="0"/>
      <w:jc w:val="center"/>
    </w:pPr>
    <w:r>
      <w:rPr>
        <w:sz w:val="22"/>
      </w:rPr>
      <w:t xml:space="preserve">Page </w:t>
    </w:r>
    <w:r>
      <w:fldChar w:fldCharType="begin"/>
    </w:r>
    <w:r>
      <w:instrText xml:space="preserve"> PAGE   \* MERGEFORMAT </w:instrText>
    </w:r>
    <w:r>
      <w:fldChar w:fldCharType="separate"/>
    </w:r>
    <w:r>
      <w:t>2</w:t>
    </w:r>
    <w:r>
      <w:fldChar w:fldCharType="end"/>
    </w:r>
    <w:r>
      <w:t xml:space="preserve"> </w:t>
    </w:r>
    <w:r>
      <w:rPr>
        <w:sz w:val="22"/>
      </w:rPr>
      <w:t xml:space="preserve">of </w:t>
    </w:r>
    <w:r w:rsidR="006B1D2D">
      <w:rPr>
        <w:noProof/>
        <w:sz w:val="22"/>
      </w:rPr>
      <w:fldChar w:fldCharType="begin"/>
    </w:r>
    <w:r w:rsidR="006B1D2D">
      <w:rPr>
        <w:noProof/>
        <w:sz w:val="22"/>
      </w:rPr>
      <w:instrText xml:space="preserve"> NUMPAGES   \* MERGEFORMAT </w:instrText>
    </w:r>
    <w:r w:rsidR="006B1D2D">
      <w:rPr>
        <w:noProof/>
        <w:sz w:val="22"/>
      </w:rPr>
      <w:fldChar w:fldCharType="separate"/>
    </w:r>
    <w:r w:rsidR="008B50B4" w:rsidRPr="008B50B4">
      <w:rPr>
        <w:noProof/>
        <w:sz w:val="22"/>
      </w:rPr>
      <w:t>2</w:t>
    </w:r>
    <w:r w:rsidR="006B1D2D">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AA76" w14:textId="77777777" w:rsidR="00640D5C" w:rsidRDefault="00D24ABB">
    <w:pPr>
      <w:spacing w:after="0" w:line="259" w:lineRule="auto"/>
      <w:ind w:left="0" w:right="86" w:firstLine="0"/>
      <w:jc w:val="center"/>
    </w:pPr>
    <w:r>
      <w:rPr>
        <w:sz w:val="22"/>
      </w:rPr>
      <w:t xml:space="preserve">Page </w:t>
    </w:r>
    <w:r>
      <w:fldChar w:fldCharType="begin"/>
    </w:r>
    <w:r>
      <w:instrText xml:space="preserve"> PAGE   \* MERGEFORMAT </w:instrText>
    </w:r>
    <w:r>
      <w:fldChar w:fldCharType="separate"/>
    </w:r>
    <w:r w:rsidR="00066DF9">
      <w:rPr>
        <w:noProof/>
      </w:rPr>
      <w:t>2</w:t>
    </w:r>
    <w:r>
      <w:fldChar w:fldCharType="end"/>
    </w:r>
    <w:r>
      <w:t xml:space="preserve"> </w:t>
    </w:r>
    <w:r>
      <w:rPr>
        <w:sz w:val="22"/>
      </w:rPr>
      <w:t xml:space="preserve">of </w:t>
    </w:r>
    <w:r w:rsidR="006B1D2D">
      <w:rPr>
        <w:noProof/>
        <w:sz w:val="22"/>
      </w:rPr>
      <w:fldChar w:fldCharType="begin"/>
    </w:r>
    <w:r w:rsidR="006B1D2D">
      <w:rPr>
        <w:noProof/>
        <w:sz w:val="22"/>
      </w:rPr>
      <w:instrText xml:space="preserve"> NUMPAGES   \* MERGEFORMAT </w:instrText>
    </w:r>
    <w:r w:rsidR="006B1D2D">
      <w:rPr>
        <w:noProof/>
        <w:sz w:val="22"/>
      </w:rPr>
      <w:fldChar w:fldCharType="separate"/>
    </w:r>
    <w:r w:rsidR="00066DF9" w:rsidRPr="00066DF9">
      <w:rPr>
        <w:noProof/>
        <w:sz w:val="22"/>
      </w:rPr>
      <w:t>2</w:t>
    </w:r>
    <w:r w:rsidR="006B1D2D">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556FD" w14:textId="77777777" w:rsidR="00640D5C" w:rsidRDefault="00640D5C">
    <w:pPr>
      <w:spacing w:after="0" w:line="259" w:lineRule="auto"/>
      <w:ind w:left="0" w:right="91"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6B52D" w14:textId="77777777" w:rsidR="006B1D2D" w:rsidRDefault="006B1D2D">
      <w:pPr>
        <w:spacing w:after="0" w:line="240" w:lineRule="auto"/>
      </w:pPr>
      <w:r>
        <w:separator/>
      </w:r>
    </w:p>
  </w:footnote>
  <w:footnote w:type="continuationSeparator" w:id="0">
    <w:p w14:paraId="3F803F24" w14:textId="77777777" w:rsidR="006B1D2D" w:rsidRDefault="006B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0" style="width:7.2pt;height:7.2pt" coordsize="" o:spt="100" o:bullet="t" adj="0,,0" path="" stroked="f">
        <v:stroke joinstyle="miter"/>
        <v:imagedata r:id="rId1" o:title="image18"/>
        <v:formulas/>
        <v:path o:connecttype="segments"/>
      </v:shape>
    </w:pict>
  </w:numPicBullet>
  <w:numPicBullet w:numPicBulletId="1">
    <w:pict>
      <v:shape id="_x0000_i1031" style="width:6.6pt;height:7.2pt" coordsize="" o:spt="100" o:bullet="t" adj="0,,0" path="" stroked="f">
        <v:stroke joinstyle="miter"/>
        <v:imagedata r:id="rId2" o:title="image19"/>
        <v:formulas/>
        <v:path o:connecttype="segments"/>
      </v:shape>
    </w:pict>
  </w:numPicBullet>
  <w:numPicBullet w:numPicBulletId="2">
    <w:pict>
      <v:shape id="_x0000_i1032" style="width:6.6pt;height:6.6pt" coordsize="" o:spt="100" o:bullet="t" adj="0,,0" path="" stroked="f">
        <v:stroke joinstyle="miter"/>
        <v:imagedata r:id="rId3" o:title="image20"/>
        <v:formulas/>
        <v:path o:connecttype="segments"/>
      </v:shape>
    </w:pict>
  </w:numPicBullet>
  <w:numPicBullet w:numPicBulletId="3">
    <w:pict>
      <v:shape id="_x0000_i1033" style="width:6.6pt;height:7.2pt" coordsize="" o:spt="100" o:bullet="t" adj="0,,0" path="" stroked="f">
        <v:stroke joinstyle="miter"/>
        <v:imagedata r:id="rId4" o:title="image21"/>
        <v:formulas/>
        <v:path o:connecttype="segments"/>
      </v:shape>
    </w:pict>
  </w:numPicBullet>
  <w:abstractNum w:abstractNumId="0" w15:restartNumberingAfterBreak="0">
    <w:nsid w:val="038A668C"/>
    <w:multiLevelType w:val="hybridMultilevel"/>
    <w:tmpl w:val="8B165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74A"/>
    <w:multiLevelType w:val="hybridMultilevel"/>
    <w:tmpl w:val="6DAAADFC"/>
    <w:lvl w:ilvl="0" w:tplc="0908C952">
      <w:start w:val="1"/>
      <w:numFmt w:val="bullet"/>
      <w:lvlText w:val="•"/>
      <w:lvlPicBulletId w:val="1"/>
      <w:lvlJc w:val="left"/>
      <w:pPr>
        <w:ind w:left="7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7A05F8">
      <w:start w:val="1"/>
      <w:numFmt w:val="bullet"/>
      <w:lvlText w:val="o"/>
      <w:lvlJc w:val="left"/>
      <w:pPr>
        <w:ind w:left="14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004A20">
      <w:start w:val="1"/>
      <w:numFmt w:val="bullet"/>
      <w:lvlText w:val="▪"/>
      <w:lvlJc w:val="left"/>
      <w:pPr>
        <w:ind w:left="2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7A67616">
      <w:start w:val="1"/>
      <w:numFmt w:val="bullet"/>
      <w:lvlText w:val="•"/>
      <w:lvlJc w:val="left"/>
      <w:pPr>
        <w:ind w:left="2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F21BF0">
      <w:start w:val="1"/>
      <w:numFmt w:val="bullet"/>
      <w:lvlText w:val="o"/>
      <w:lvlJc w:val="left"/>
      <w:pPr>
        <w:ind w:left="3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60E6956">
      <w:start w:val="1"/>
      <w:numFmt w:val="bullet"/>
      <w:lvlText w:val="▪"/>
      <w:lvlJc w:val="left"/>
      <w:pPr>
        <w:ind w:left="4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992472A">
      <w:start w:val="1"/>
      <w:numFmt w:val="bullet"/>
      <w:lvlText w:val="•"/>
      <w:lvlJc w:val="left"/>
      <w:pPr>
        <w:ind w:left="5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A3E52DE">
      <w:start w:val="1"/>
      <w:numFmt w:val="bullet"/>
      <w:lvlText w:val="o"/>
      <w:lvlJc w:val="left"/>
      <w:pPr>
        <w:ind w:left="5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285114">
      <w:start w:val="1"/>
      <w:numFmt w:val="bullet"/>
      <w:lvlText w:val="▪"/>
      <w:lvlJc w:val="left"/>
      <w:pPr>
        <w:ind w:left="6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D6E6F6E"/>
    <w:multiLevelType w:val="hybridMultilevel"/>
    <w:tmpl w:val="1E60AFA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32A522C6"/>
    <w:multiLevelType w:val="hybridMultilevel"/>
    <w:tmpl w:val="6994D402"/>
    <w:lvl w:ilvl="0" w:tplc="CBE24AF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B47358">
      <w:start w:val="1"/>
      <w:numFmt w:val="lowerLetter"/>
      <w:lvlRestart w:val="0"/>
      <w:lvlText w:val="%2."/>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C0108E">
      <w:start w:val="1"/>
      <w:numFmt w:val="lowerRoman"/>
      <w:lvlText w:val="%3"/>
      <w:lvlJc w:val="left"/>
      <w:pPr>
        <w:ind w:left="2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F66C16">
      <w:start w:val="1"/>
      <w:numFmt w:val="decimal"/>
      <w:lvlText w:val="%4"/>
      <w:lvlJc w:val="left"/>
      <w:pPr>
        <w:ind w:left="2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2E614A">
      <w:start w:val="1"/>
      <w:numFmt w:val="lowerLetter"/>
      <w:lvlText w:val="%5"/>
      <w:lvlJc w:val="left"/>
      <w:pPr>
        <w:ind w:left="36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D89A32">
      <w:start w:val="1"/>
      <w:numFmt w:val="lowerRoman"/>
      <w:lvlText w:val="%6"/>
      <w:lvlJc w:val="left"/>
      <w:pPr>
        <w:ind w:left="43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661854">
      <w:start w:val="1"/>
      <w:numFmt w:val="decimal"/>
      <w:lvlText w:val="%7"/>
      <w:lvlJc w:val="left"/>
      <w:pPr>
        <w:ind w:left="50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52812E2">
      <w:start w:val="1"/>
      <w:numFmt w:val="lowerLetter"/>
      <w:lvlText w:val="%8"/>
      <w:lvlJc w:val="left"/>
      <w:pPr>
        <w:ind w:left="5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BA4B5BE">
      <w:start w:val="1"/>
      <w:numFmt w:val="lowerRoman"/>
      <w:lvlText w:val="%9"/>
      <w:lvlJc w:val="left"/>
      <w:pPr>
        <w:ind w:left="6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59F4A9E"/>
    <w:multiLevelType w:val="hybridMultilevel"/>
    <w:tmpl w:val="C4243ED6"/>
    <w:lvl w:ilvl="0" w:tplc="132C020C">
      <w:start w:val="1"/>
      <w:numFmt w:val="bullet"/>
      <w:lvlText w:val="•"/>
      <w:lvlPicBulletId w:val="3"/>
      <w:lvlJc w:val="left"/>
      <w:pPr>
        <w:ind w:left="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2FF5E">
      <w:start w:val="1"/>
      <w:numFmt w:val="bullet"/>
      <w:lvlText w:val="o"/>
      <w:lvlJc w:val="left"/>
      <w:pPr>
        <w:ind w:left="1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EE9E74">
      <w:start w:val="1"/>
      <w:numFmt w:val="bullet"/>
      <w:lvlText w:val="▪"/>
      <w:lvlJc w:val="left"/>
      <w:pPr>
        <w:ind w:left="2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B436B0">
      <w:start w:val="1"/>
      <w:numFmt w:val="bullet"/>
      <w:lvlText w:val="•"/>
      <w:lvlJc w:val="left"/>
      <w:pPr>
        <w:ind w:left="3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3A65B0">
      <w:start w:val="1"/>
      <w:numFmt w:val="bullet"/>
      <w:lvlText w:val="o"/>
      <w:lvlJc w:val="left"/>
      <w:pPr>
        <w:ind w:left="3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E0C2C">
      <w:start w:val="1"/>
      <w:numFmt w:val="bullet"/>
      <w:lvlText w:val="▪"/>
      <w:lvlJc w:val="left"/>
      <w:pPr>
        <w:ind w:left="4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E0E8E">
      <w:start w:val="1"/>
      <w:numFmt w:val="bullet"/>
      <w:lvlText w:val="•"/>
      <w:lvlJc w:val="left"/>
      <w:pPr>
        <w:ind w:left="5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D043CA">
      <w:start w:val="1"/>
      <w:numFmt w:val="bullet"/>
      <w:lvlText w:val="o"/>
      <w:lvlJc w:val="left"/>
      <w:pPr>
        <w:ind w:left="6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E7E88">
      <w:start w:val="1"/>
      <w:numFmt w:val="bullet"/>
      <w:lvlText w:val="▪"/>
      <w:lvlJc w:val="left"/>
      <w:pPr>
        <w:ind w:left="6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CF7026"/>
    <w:multiLevelType w:val="hybridMultilevel"/>
    <w:tmpl w:val="7EF0368A"/>
    <w:lvl w:ilvl="0" w:tplc="CB46DA40">
      <w:start w:val="1"/>
      <w:numFmt w:val="bullet"/>
      <w:lvlText w:val="•"/>
      <w:lvlPicBulletId w:val="0"/>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F44222">
      <w:start w:val="1"/>
      <w:numFmt w:val="bullet"/>
      <w:lvlText w:val="o"/>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E731C">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EAF22">
      <w:start w:val="1"/>
      <w:numFmt w:val="bullet"/>
      <w:lvlText w:val="•"/>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60930">
      <w:start w:val="1"/>
      <w:numFmt w:val="bullet"/>
      <w:lvlText w:val="o"/>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047D8">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61F28">
      <w:start w:val="1"/>
      <w:numFmt w:val="bullet"/>
      <w:lvlText w:val="•"/>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6E4B6">
      <w:start w:val="1"/>
      <w:numFmt w:val="bullet"/>
      <w:lvlText w:val="o"/>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09E3A">
      <w:start w:val="1"/>
      <w:numFmt w:val="bullet"/>
      <w:lvlText w:val="▪"/>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CB7DAF"/>
    <w:multiLevelType w:val="hybridMultilevel"/>
    <w:tmpl w:val="EDF46540"/>
    <w:lvl w:ilvl="0" w:tplc="C506F92C">
      <w:start w:val="2008"/>
      <w:numFmt w:val="decimal"/>
      <w:lvlText w:val="%1"/>
      <w:lvlJc w:val="left"/>
      <w:pPr>
        <w:ind w:left="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248C64">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AA1D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AB17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02654">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27C7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8C2C8">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2269C">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6089E">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5F3150"/>
    <w:multiLevelType w:val="hybridMultilevel"/>
    <w:tmpl w:val="F1EEDF00"/>
    <w:lvl w:ilvl="0" w:tplc="89DC63C6">
      <w:start w:val="1"/>
      <w:numFmt w:val="bullet"/>
      <w:lvlText w:val="•"/>
      <w:lvlJc w:val="left"/>
      <w:pPr>
        <w:ind w:left="772"/>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FC8E8FE2">
      <w:start w:val="1"/>
      <w:numFmt w:val="bullet"/>
      <w:lvlText w:val="o"/>
      <w:lvlJc w:val="left"/>
      <w:pPr>
        <w:ind w:left="13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36A48466">
      <w:start w:val="1"/>
      <w:numFmt w:val="bullet"/>
      <w:lvlText w:val="▪"/>
      <w:lvlJc w:val="left"/>
      <w:pPr>
        <w:ind w:left="211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E42AD6C2">
      <w:start w:val="1"/>
      <w:numFmt w:val="bullet"/>
      <w:lvlText w:val="•"/>
      <w:lvlJc w:val="left"/>
      <w:pPr>
        <w:ind w:left="283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876E178A">
      <w:start w:val="1"/>
      <w:numFmt w:val="bullet"/>
      <w:lvlText w:val="o"/>
      <w:lvlJc w:val="left"/>
      <w:pPr>
        <w:ind w:left="355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77C67096">
      <w:start w:val="1"/>
      <w:numFmt w:val="bullet"/>
      <w:lvlText w:val="▪"/>
      <w:lvlJc w:val="left"/>
      <w:pPr>
        <w:ind w:left="427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A0461960">
      <w:start w:val="1"/>
      <w:numFmt w:val="bullet"/>
      <w:lvlText w:val="•"/>
      <w:lvlJc w:val="left"/>
      <w:pPr>
        <w:ind w:left="499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C7327DA4">
      <w:start w:val="1"/>
      <w:numFmt w:val="bullet"/>
      <w:lvlText w:val="o"/>
      <w:lvlJc w:val="left"/>
      <w:pPr>
        <w:ind w:left="571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76589B8E">
      <w:start w:val="1"/>
      <w:numFmt w:val="bullet"/>
      <w:lvlText w:val="▪"/>
      <w:lvlJc w:val="left"/>
      <w:pPr>
        <w:ind w:left="6438"/>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abstractNum w:abstractNumId="8" w15:restartNumberingAfterBreak="0">
    <w:nsid w:val="68AE208D"/>
    <w:multiLevelType w:val="hybridMultilevel"/>
    <w:tmpl w:val="0338DC3A"/>
    <w:lvl w:ilvl="0" w:tplc="4358E66C">
      <w:start w:val="1"/>
      <w:numFmt w:val="bullet"/>
      <w:lvlText w:val="•"/>
      <w:lvlPicBulletId w:val="2"/>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22912">
      <w:start w:val="1"/>
      <w:numFmt w:val="bullet"/>
      <w:lvlText w:val="o"/>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EDFCA">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C4E02">
      <w:start w:val="1"/>
      <w:numFmt w:val="bullet"/>
      <w:lvlText w:val="•"/>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6CEA74">
      <w:start w:val="1"/>
      <w:numFmt w:val="bullet"/>
      <w:lvlText w:val="o"/>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88AFA">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65A06">
      <w:start w:val="1"/>
      <w:numFmt w:val="bullet"/>
      <w:lvlText w:val="•"/>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002908">
      <w:start w:val="1"/>
      <w:numFmt w:val="bullet"/>
      <w:lvlText w:val="o"/>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E5EC4">
      <w:start w:val="1"/>
      <w:numFmt w:val="bullet"/>
      <w:lvlText w:val="▪"/>
      <w:lvlJc w:val="left"/>
      <w:pPr>
        <w:ind w:left="6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37B74C5"/>
    <w:multiLevelType w:val="hybridMultilevel"/>
    <w:tmpl w:val="19703552"/>
    <w:lvl w:ilvl="0" w:tplc="08CAB200">
      <w:start w:val="1"/>
      <w:numFmt w:val="decimal"/>
      <w:lvlText w:val="%1."/>
      <w:lvlJc w:val="left"/>
      <w:pPr>
        <w:ind w:left="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CECCE">
      <w:start w:val="1"/>
      <w:numFmt w:val="lowerLetter"/>
      <w:lvlText w:val="%2."/>
      <w:lvlJc w:val="left"/>
      <w:pPr>
        <w:ind w:left="14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AE04446">
      <w:start w:val="1"/>
      <w:numFmt w:val="lowerRoman"/>
      <w:lvlText w:val="%3"/>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1A603C6">
      <w:start w:val="1"/>
      <w:numFmt w:val="decimal"/>
      <w:lvlText w:val="%4"/>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661356">
      <w:start w:val="1"/>
      <w:numFmt w:val="lowerLetter"/>
      <w:lvlText w:val="%5"/>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BE32C0">
      <w:start w:val="1"/>
      <w:numFmt w:val="lowerRoman"/>
      <w:lvlText w:val="%6"/>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62C5352">
      <w:start w:val="1"/>
      <w:numFmt w:val="decimal"/>
      <w:lvlText w:val="%7"/>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EA0B82">
      <w:start w:val="1"/>
      <w:numFmt w:val="lowerLetter"/>
      <w:lvlText w:val="%8"/>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FC73A8">
      <w:start w:val="1"/>
      <w:numFmt w:val="lowerRoman"/>
      <w:lvlText w:val="%9"/>
      <w:lvlJc w:val="left"/>
      <w:pPr>
        <w:ind w:left="6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65A2079"/>
    <w:multiLevelType w:val="hybridMultilevel"/>
    <w:tmpl w:val="045EF080"/>
    <w:lvl w:ilvl="0" w:tplc="1950954A">
      <w:start w:val="5"/>
      <w:numFmt w:val="lowerLetter"/>
      <w:lvlText w:val="%1."/>
      <w:lvlJc w:val="left"/>
      <w:pPr>
        <w:ind w:left="14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64BF30">
      <w:start w:val="1"/>
      <w:numFmt w:val="lowerLetter"/>
      <w:lvlText w:val="%2"/>
      <w:lvlJc w:val="left"/>
      <w:pPr>
        <w:ind w:left="21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85696B2">
      <w:start w:val="1"/>
      <w:numFmt w:val="lowerRoman"/>
      <w:lvlText w:val="%3"/>
      <w:lvlJc w:val="left"/>
      <w:pPr>
        <w:ind w:left="28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E9EE8">
      <w:start w:val="1"/>
      <w:numFmt w:val="decimal"/>
      <w:lvlText w:val="%4"/>
      <w:lvlJc w:val="left"/>
      <w:pPr>
        <w:ind w:left="36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1076E8">
      <w:start w:val="1"/>
      <w:numFmt w:val="lowerLetter"/>
      <w:lvlText w:val="%5"/>
      <w:lvlJc w:val="left"/>
      <w:pPr>
        <w:ind w:left="4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3B61F42">
      <w:start w:val="1"/>
      <w:numFmt w:val="lowerRoman"/>
      <w:lvlText w:val="%6"/>
      <w:lvlJc w:val="left"/>
      <w:pPr>
        <w:ind w:left="5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45ECE56">
      <w:start w:val="1"/>
      <w:numFmt w:val="decimal"/>
      <w:lvlText w:val="%7"/>
      <w:lvlJc w:val="left"/>
      <w:pPr>
        <w:ind w:left="57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D00696">
      <w:start w:val="1"/>
      <w:numFmt w:val="lowerLetter"/>
      <w:lvlText w:val="%8"/>
      <w:lvlJc w:val="left"/>
      <w:pPr>
        <w:ind w:left="64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7E930A">
      <w:start w:val="1"/>
      <w:numFmt w:val="lowerRoman"/>
      <w:lvlText w:val="%9"/>
      <w:lvlJc w:val="left"/>
      <w:pPr>
        <w:ind w:left="72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6"/>
  </w:num>
  <w:num w:numId="3">
    <w:abstractNumId w:val="1"/>
  </w:num>
  <w:num w:numId="4">
    <w:abstractNumId w:val="8"/>
  </w:num>
  <w:num w:numId="5">
    <w:abstractNumId w:val="9"/>
  </w:num>
  <w:num w:numId="6">
    <w:abstractNumId w:val="3"/>
  </w:num>
  <w:num w:numId="7">
    <w:abstractNumId w:val="10"/>
  </w:num>
  <w:num w:numId="8">
    <w:abstractNumId w:val="4"/>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5C"/>
    <w:rsid w:val="000348DD"/>
    <w:rsid w:val="00057EA9"/>
    <w:rsid w:val="00066DF9"/>
    <w:rsid w:val="002914A5"/>
    <w:rsid w:val="002C79C2"/>
    <w:rsid w:val="002D5D99"/>
    <w:rsid w:val="00314075"/>
    <w:rsid w:val="003E4F8D"/>
    <w:rsid w:val="00436BD3"/>
    <w:rsid w:val="004D7142"/>
    <w:rsid w:val="004F19C0"/>
    <w:rsid w:val="00557C29"/>
    <w:rsid w:val="00640D5C"/>
    <w:rsid w:val="006B1D2D"/>
    <w:rsid w:val="00764A8F"/>
    <w:rsid w:val="007A18E6"/>
    <w:rsid w:val="007C3835"/>
    <w:rsid w:val="00821A76"/>
    <w:rsid w:val="008650AF"/>
    <w:rsid w:val="008B50B4"/>
    <w:rsid w:val="00945BA2"/>
    <w:rsid w:val="00B45ED0"/>
    <w:rsid w:val="00D24ABB"/>
    <w:rsid w:val="00EA06AF"/>
    <w:rsid w:val="00EB1090"/>
    <w:rsid w:val="00ED2225"/>
    <w:rsid w:val="00F36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2B4D"/>
  <w15:docId w15:val="{4CB4B80B-BAB4-4746-9CDE-ABB7D6BD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 w:line="248" w:lineRule="auto"/>
      <w:ind w:left="10"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46"/>
      <w:ind w:left="58" w:hanging="10"/>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246"/>
      <w:ind w:left="58"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14075"/>
    <w:pPr>
      <w:ind w:left="720"/>
      <w:contextualSpacing/>
    </w:pPr>
  </w:style>
  <w:style w:type="paragraph" w:styleId="Header">
    <w:name w:val="header"/>
    <w:basedOn w:val="Normal"/>
    <w:link w:val="HeaderChar"/>
    <w:uiPriority w:val="99"/>
    <w:unhideWhenUsed/>
    <w:rsid w:val="00557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29"/>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B1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090"/>
    <w:rPr>
      <w:rFonts w:ascii="Segoe UI" w:eastAsia="Times New Roman" w:hAnsi="Segoe UI" w:cs="Segoe UI"/>
      <w:color w:val="000000"/>
      <w:sz w:val="18"/>
      <w:szCs w:val="18"/>
    </w:rPr>
  </w:style>
  <w:style w:type="character" w:styleId="Hyperlink">
    <w:name w:val="Hyperlink"/>
    <w:basedOn w:val="DefaultParagraphFont"/>
    <w:uiPriority w:val="99"/>
    <w:unhideWhenUsed/>
    <w:rsid w:val="004D7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449485">
      <w:bodyDiv w:val="1"/>
      <w:marLeft w:val="0"/>
      <w:marRight w:val="0"/>
      <w:marTop w:val="0"/>
      <w:marBottom w:val="0"/>
      <w:divBdr>
        <w:top w:val="none" w:sz="0" w:space="0" w:color="auto"/>
        <w:left w:val="none" w:sz="0" w:space="0" w:color="auto"/>
        <w:bottom w:val="none" w:sz="0" w:space="0" w:color="auto"/>
        <w:right w:val="none" w:sz="0" w:space="0" w:color="auto"/>
      </w:divBdr>
    </w:div>
    <w:div w:id="1969430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omePartnershipInc"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homepartnershipinc.org/down-payment-closing-cost-assista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unselor@homepartnershipinc.org" TargetMode="External"/><Relationship Id="rId4" Type="http://schemas.openxmlformats.org/officeDocument/2006/relationships/webSettings" Target="webSettings.xml"/><Relationship Id="rId9" Type="http://schemas.openxmlformats.org/officeDocument/2006/relationships/hyperlink" Target="http://www.twitter.com/HomePartnersh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Counselor</dc:creator>
  <cp:keywords/>
  <cp:lastModifiedBy>Counselor</cp:lastModifiedBy>
  <cp:revision>2</cp:revision>
  <cp:lastPrinted>2017-01-18T19:01:00Z</cp:lastPrinted>
  <dcterms:created xsi:type="dcterms:W3CDTF">2018-06-07T21:08:00Z</dcterms:created>
  <dcterms:modified xsi:type="dcterms:W3CDTF">2018-06-07T21:08:00Z</dcterms:modified>
</cp:coreProperties>
</file>